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Kansūron Harmonic Overlaps: From Nuclear Waste to Atomic Structure</w:t>
      </w:r>
    </w:p>
    <w:p>
      <w:r>
        <w:t>Authors: Dean Hedges, ChatGPT (OpenAI)</w:t>
        <w:br/>
        <w:t>Date: [Insert Date]</w:t>
      </w:r>
    </w:p>
    <w:p>
      <w:pPr>
        <w:pStyle w:val="Heading1"/>
      </w:pPr>
      <w:r>
        <w:t>Abstract</w:t>
      </w:r>
    </w:p>
    <w:p>
      <w:r>
        <w:t>This document outlines a conceptual framework for applying Kansūron’s half-cycle harmonic overlap model to nuclear waste transmutation, specifically in Accelerator-Driven Systems (ADS). It evaluates short- and long-term waste management pathways, the role of silver in iodine capture, and alternatives such as bismuth-, copper-, and MOF-based sorbents. A preliminary nuclide strategy is presented, and a workflow for silver-assisted iodine immobilization is detailed. The ultimate aim is to bridge number-theoretic harmonics with nuclear engineering for safer, more effective waste minimization.</w:t>
      </w:r>
    </w:p>
    <w:p>
      <w:pPr>
        <w:pStyle w:val="Heading1"/>
      </w:pPr>
      <w:r>
        <w:t>1. Introduction</w:t>
      </w:r>
    </w:p>
    <w:p>
      <w:r>
        <w:t>Nuclear waste management remains one of the most challenging issues in energy and environmental policy. High-level waste (HLW) contains long-lived isotopes such as I-129, Tc-99, Np-237, and the minor actinides (Am, Cm), which pose radiotoxic risks for millennia. Short-term solutions emphasize robust immobilization and storage, while long-term visions center on Partitioning &amp; Transmutation (P&amp;T) using fast reactors or ADS. Here we explore how Kansūron’s harmonic overlap mathematics may optimize ADS performance, while addressing the role of silver and alternatives in iodine management.</w:t>
      </w:r>
    </w:p>
    <w:p>
      <w:pPr>
        <w:pStyle w:val="Heading1"/>
      </w:pPr>
      <w:r>
        <w:t>2. Background</w:t>
      </w:r>
    </w:p>
    <w:p>
      <w:pPr>
        <w:pStyle w:val="Heading2"/>
      </w:pPr>
      <w:r>
        <w:t>2.1 Partitioning &amp; Transmutation (P&amp;T)</w:t>
      </w:r>
    </w:p>
    <w:p>
      <w:r>
        <w:t>P&amp;T seeks to separate long-lived nuclides and transmute them into shorter-lived species. ADS offer a subcritical, controllable neutron spectrum suitable for targeted transmutation.</w:t>
      </w:r>
    </w:p>
    <w:p>
      <w:pPr>
        <w:pStyle w:val="Heading2"/>
      </w:pPr>
      <w:r>
        <w:t>2.2 Kansūron Harmonic Framework</w:t>
      </w:r>
    </w:p>
    <w:p>
      <w:r>
        <w:t>Kansūron models natural numbers as half-cycle harmonics that overlap to reveal primes. Analogously, nuclear resonances can be treated as 'notes' that align with harmonic neutron flux schedules. This may allow optimization of ADS flux modulation to increase useful capture/fission events.</w:t>
      </w:r>
    </w:p>
    <w:p>
      <w:pPr>
        <w:pStyle w:val="Heading1"/>
      </w:pPr>
      <w:r>
        <w:t>3. Concept Framework</w:t>
      </w:r>
    </w:p>
    <w:p>
      <w:pPr>
        <w:pStyle w:val="Heading2"/>
      </w:pPr>
      <w:r>
        <w:t>3.1 Harmonic Scheduling Idea</w:t>
      </w:r>
    </w:p>
    <w:p>
      <w:r>
        <w:t>Flux waveform can be treated as a harmonic tiling of energy and time, where nuclide resonances are targeted through controlled spectrum shaping and beam pulsing.</w:t>
      </w:r>
    </w:p>
    <w:p>
      <w:pPr>
        <w:pStyle w:val="Heading2"/>
      </w:pPr>
      <w:r>
        <w:t>3.2 Control Levers</w:t>
      </w:r>
    </w:p>
    <w:p>
      <w:r>
        <w:t>Beam waveform, moderators, reflectors, spallation target design, and fuel loading of minor actinides all serve as levers to shape the neutron spectrum.</w:t>
      </w:r>
    </w:p>
    <w:p>
      <w:pPr>
        <w:pStyle w:val="Heading2"/>
      </w:pPr>
      <w:r>
        <w:t>3.3 Success Metrics</w:t>
      </w:r>
    </w:p>
    <w:p>
      <w:r>
        <w:t>Key metrics include depletion rates of I-129, Tc-99, Np-237, Am-241/243, and Cm-244, as well as reductions in repository heat load and long-term radiotoxicity.</w:t>
      </w:r>
    </w:p>
    <w:p>
      <w:pPr>
        <w:pStyle w:val="Heading1"/>
      </w:pPr>
      <w:r>
        <w:t>4. Target Nuclide Strategy</w:t>
      </w:r>
    </w:p>
    <w:tbl>
      <w:tblPr>
        <w:tblW w:type="auto" w:w="0"/>
        <w:tblLook w:firstColumn="1" w:firstRow="1" w:lastColumn="0" w:lastRow="0" w:noHBand="0" w:noVBand="1" w:val="04A0"/>
      </w:tblPr>
      <w:tblGrid>
        <w:gridCol w:w="2160"/>
        <w:gridCol w:w="2160"/>
        <w:gridCol w:w="2160"/>
        <w:gridCol w:w="2160"/>
      </w:tblGrid>
      <w:tr>
        <w:tc>
          <w:tcPr>
            <w:tcW w:type="dxa" w:w="2160"/>
          </w:tcPr>
          <w:p>
            <w:r>
              <w:t>Nuclide</w:t>
            </w:r>
          </w:p>
        </w:tc>
        <w:tc>
          <w:tcPr>
            <w:tcW w:type="dxa" w:w="2160"/>
          </w:tcPr>
          <w:p>
            <w:r>
              <w:t>Half-life</w:t>
            </w:r>
          </w:p>
        </w:tc>
        <w:tc>
          <w:tcPr>
            <w:tcW w:type="dxa" w:w="2160"/>
          </w:tcPr>
          <w:p>
            <w:r>
              <w:t>Goal</w:t>
            </w:r>
          </w:p>
        </w:tc>
        <w:tc>
          <w:tcPr>
            <w:tcW w:type="dxa" w:w="2160"/>
          </w:tcPr>
          <w:p>
            <w:r>
              <w:t>Harmonic Strategy</w:t>
            </w:r>
          </w:p>
        </w:tc>
      </w:tr>
      <w:tr>
        <w:tc>
          <w:tcPr>
            <w:tcW w:type="dxa" w:w="2160"/>
          </w:tcPr>
          <w:p>
            <w:r>
              <w:t>I-129</w:t>
            </w:r>
          </w:p>
        </w:tc>
        <w:tc>
          <w:tcPr>
            <w:tcW w:type="dxa" w:w="2160"/>
          </w:tcPr>
          <w:p>
            <w:r>
              <w:t>15.7 Myr</w:t>
            </w:r>
          </w:p>
        </w:tc>
        <w:tc>
          <w:tcPr>
            <w:tcW w:type="dxa" w:w="2160"/>
          </w:tcPr>
          <w:p>
            <w:r>
              <w:t>Capture → Xe chain</w:t>
            </w:r>
          </w:p>
        </w:tc>
        <w:tc>
          <w:tcPr>
            <w:tcW w:type="dxa" w:w="2160"/>
          </w:tcPr>
          <w:p>
            <w:r>
              <w:t>Epithermal capture bursts</w:t>
            </w:r>
          </w:p>
        </w:tc>
      </w:tr>
      <w:tr>
        <w:tc>
          <w:tcPr>
            <w:tcW w:type="dxa" w:w="2160"/>
          </w:tcPr>
          <w:p>
            <w:r>
              <w:t>Tc-99</w:t>
            </w:r>
          </w:p>
        </w:tc>
        <w:tc>
          <w:tcPr>
            <w:tcW w:type="dxa" w:w="2160"/>
          </w:tcPr>
          <w:p>
            <w:r>
              <w:t>2.1×10^5 yr</w:t>
            </w:r>
          </w:p>
        </w:tc>
        <w:tc>
          <w:tcPr>
            <w:tcW w:type="dxa" w:w="2160"/>
          </w:tcPr>
          <w:p>
            <w:r>
              <w:t>Capture → Ru</w:t>
            </w:r>
          </w:p>
        </w:tc>
        <w:tc>
          <w:tcPr>
            <w:tcW w:type="dxa" w:w="2160"/>
          </w:tcPr>
          <w:p>
            <w:r>
              <w:t>Shape spectrum windows</w:t>
            </w:r>
          </w:p>
        </w:tc>
      </w:tr>
      <w:tr>
        <w:tc>
          <w:tcPr>
            <w:tcW w:type="dxa" w:w="2160"/>
          </w:tcPr>
          <w:p>
            <w:r>
              <w:t>Np-237</w:t>
            </w:r>
          </w:p>
        </w:tc>
        <w:tc>
          <w:tcPr>
            <w:tcW w:type="dxa" w:w="2160"/>
          </w:tcPr>
          <w:p>
            <w:r>
              <w:t>2.14 Myr</w:t>
            </w:r>
          </w:p>
        </w:tc>
        <w:tc>
          <w:tcPr>
            <w:tcW w:type="dxa" w:w="2160"/>
          </w:tcPr>
          <w:p>
            <w:r>
              <w:t>Fission</w:t>
            </w:r>
          </w:p>
        </w:tc>
        <w:tc>
          <w:tcPr>
            <w:tcW w:type="dxa" w:w="2160"/>
          </w:tcPr>
          <w:p>
            <w:r>
              <w:t>Fast spectrum bursts</w:t>
            </w:r>
          </w:p>
        </w:tc>
      </w:tr>
      <w:tr>
        <w:tc>
          <w:tcPr>
            <w:tcW w:type="dxa" w:w="2160"/>
          </w:tcPr>
          <w:p>
            <w:r>
              <w:t>Am-241</w:t>
            </w:r>
          </w:p>
        </w:tc>
        <w:tc>
          <w:tcPr>
            <w:tcW w:type="dxa" w:w="2160"/>
          </w:tcPr>
          <w:p>
            <w:r>
              <w:t>432 yr</w:t>
            </w:r>
          </w:p>
        </w:tc>
        <w:tc>
          <w:tcPr>
            <w:tcW w:type="dxa" w:w="2160"/>
          </w:tcPr>
          <w:p>
            <w:r>
              <w:t>Fission/capture</w:t>
            </w:r>
          </w:p>
        </w:tc>
        <w:tc>
          <w:tcPr>
            <w:tcW w:type="dxa" w:w="2160"/>
          </w:tcPr>
          <w:p>
            <w:r>
              <w:t>Fast spectrum with limited parasitics</w:t>
            </w:r>
          </w:p>
        </w:tc>
      </w:tr>
      <w:tr>
        <w:tc>
          <w:tcPr>
            <w:tcW w:type="dxa" w:w="2160"/>
          </w:tcPr>
          <w:p>
            <w:r>
              <w:t>Am-243</w:t>
            </w:r>
          </w:p>
        </w:tc>
        <w:tc>
          <w:tcPr>
            <w:tcW w:type="dxa" w:w="2160"/>
          </w:tcPr>
          <w:p>
            <w:r>
              <w:t>7.4 kyr</w:t>
            </w:r>
          </w:p>
        </w:tc>
        <w:tc>
          <w:tcPr>
            <w:tcW w:type="dxa" w:w="2160"/>
          </w:tcPr>
          <w:p>
            <w:r>
              <w:t>Fission</w:t>
            </w:r>
          </w:p>
        </w:tc>
        <w:tc>
          <w:tcPr>
            <w:tcW w:type="dxa" w:w="2160"/>
          </w:tcPr>
          <w:p>
            <w:r>
              <w:t>Fast spectrum bursts</w:t>
            </w:r>
          </w:p>
        </w:tc>
      </w:tr>
      <w:tr>
        <w:tc>
          <w:tcPr>
            <w:tcW w:type="dxa" w:w="2160"/>
          </w:tcPr>
          <w:p>
            <w:r>
              <w:t>Cm-244</w:t>
            </w:r>
          </w:p>
        </w:tc>
        <w:tc>
          <w:tcPr>
            <w:tcW w:type="dxa" w:w="2160"/>
          </w:tcPr>
          <w:p>
            <w:r>
              <w:t>18.1 yr</w:t>
            </w:r>
          </w:p>
        </w:tc>
        <w:tc>
          <w:tcPr>
            <w:tcW w:type="dxa" w:w="2160"/>
          </w:tcPr>
          <w:p>
            <w:r>
              <w:t>Fission/heat control</w:t>
            </w:r>
          </w:p>
        </w:tc>
        <w:tc>
          <w:tcPr>
            <w:tcW w:type="dxa" w:w="2160"/>
          </w:tcPr>
          <w:p>
            <w:r>
              <w:t>Fast spectrum with careful power control</w:t>
            </w:r>
          </w:p>
        </w:tc>
      </w:tr>
    </w:tbl>
    <w:p>
      <w:pPr>
        <w:pStyle w:val="Heading1"/>
      </w:pPr>
      <w:r>
        <w:t>5. Silver and Alternatives in Waste Management</w:t>
      </w:r>
    </w:p>
    <w:p>
      <w:r>
        <w:t xml:space="preserve">Silver-exchanged zeolites remain the gold standard for iodine capture, particularly for CH3I. However, the actual silver demand per tonne of fuel processed is small (~0.2–0.4 kg), negligible compared to global silver production (~26,000 t/year). Political concentration of silver stocks, such as in London vaults, does not present a technical supply constraint. </w:t>
      </w:r>
    </w:p>
    <w:p>
      <w:r>
        <w:t>Alternatives include bismuth-based sorbents (BiI3/Bi-oxide formation), copper-zeolites (for I2 capture), and advanced porous frameworks (MOFs, novel zeolites like EMM-17). A practical pathway is to use mixed-bed systems where Bi/Cu/MOF capture bulk iodine, and a small Ag-polish bed ensures regulatory compliance.</w:t>
      </w:r>
    </w:p>
    <w:p>
      <w:pPr>
        <w:pStyle w:val="Heading1"/>
      </w:pPr>
      <w:r>
        <w:t>6. Short-Term vs Long-Term Pathways</w:t>
      </w:r>
    </w:p>
    <w:p>
      <w:r/>
    </w:p>
    <w:p>
      <w:pPr>
        <w:pStyle w:val="Heading1"/>
      </w:pPr>
      <w:r>
        <w:t>7. Discussion</w:t>
      </w:r>
    </w:p>
    <w:p>
      <w:r>
        <w:t>Kansūron harmonics provide a mathematical lens to view nuclear resonances. By scheduling ADS neutron spectra according to half-cycle overlaps, targeted depletion of long-lived nuclides may be optimized. Silver’s role should be reframed as a polish rather than the backbone of iodine capture, with Bi/Cu/MOF sorbents providing scalable alternatives.</w:t>
      </w:r>
    </w:p>
    <w:p>
      <w:pPr>
        <w:pStyle w:val="Heading1"/>
      </w:pPr>
      <w:r>
        <w:t>8. Conclusion</w:t>
      </w:r>
    </w:p>
    <w:p>
      <w:r>
        <w:t>While silver remains useful, it is not indispensable. Alternatives can reduce dependency, cost, and political risks. ADS with harmonic scheduling offers a long-term transformational pathway for nuclear waste minimization.</w:t>
      </w:r>
    </w:p>
    <w:p>
      <w:pPr>
        <w:pStyle w:val="Heading2"/>
      </w:pPr>
      <w:r>
        <w:t>5.1 Sorbent Comparison Table</w:t>
      </w:r>
    </w:p>
    <w:p>
      <w:r>
        <w:t>Comparison of candidate sorbents for iodine capture in nuclear waste management:</w:t>
      </w:r>
    </w:p>
    <w:tbl>
      <w:tblPr>
        <w:tblW w:type="auto" w:w="0"/>
        <w:tblLook w:firstColumn="1" w:firstRow="1" w:lastColumn="0" w:lastRow="0" w:noHBand="0" w:noVBand="1" w:val="04A0"/>
      </w:tblPr>
      <w:tblGrid>
        <w:gridCol w:w="1440"/>
        <w:gridCol w:w="1440"/>
        <w:gridCol w:w="1440"/>
        <w:gridCol w:w="1440"/>
        <w:gridCol w:w="1440"/>
        <w:gridCol w:w="1440"/>
      </w:tblGrid>
      <w:tr>
        <w:tc>
          <w:tcPr>
            <w:tcW w:type="dxa" w:w="1440"/>
          </w:tcPr>
          <w:p>
            <w:r>
              <w:t>Sorbent</w:t>
            </w:r>
          </w:p>
        </w:tc>
        <w:tc>
          <w:tcPr>
            <w:tcW w:type="dxa" w:w="1440"/>
          </w:tcPr>
          <w:p>
            <w:r>
              <w:t>I₂ Capture</w:t>
            </w:r>
          </w:p>
        </w:tc>
        <w:tc>
          <w:tcPr>
            <w:tcW w:type="dxa" w:w="1440"/>
          </w:tcPr>
          <w:p>
            <w:r>
              <w:t>CH₃I Capture</w:t>
            </w:r>
          </w:p>
        </w:tc>
        <w:tc>
          <w:tcPr>
            <w:tcW w:type="dxa" w:w="1440"/>
          </w:tcPr>
          <w:p>
            <w:r>
              <w:t>Radiation/Thermal Stability</w:t>
            </w:r>
          </w:p>
        </w:tc>
        <w:tc>
          <w:tcPr>
            <w:tcW w:type="dxa" w:w="1440"/>
          </w:tcPr>
          <w:p>
            <w:r>
              <w:t>Immobilization Compatibility</w:t>
            </w:r>
          </w:p>
        </w:tc>
        <w:tc>
          <w:tcPr>
            <w:tcW w:type="dxa" w:w="1440"/>
          </w:tcPr>
          <w:p>
            <w:r>
              <w:t>Supply/Cost Notes</w:t>
            </w:r>
          </w:p>
        </w:tc>
      </w:tr>
      <w:tr>
        <w:tc>
          <w:tcPr>
            <w:tcW w:type="dxa" w:w="1440"/>
          </w:tcPr>
          <w:p>
            <w:r>
              <w:t>Silver-zeolite (AgZ/AgX)</w:t>
            </w:r>
          </w:p>
        </w:tc>
        <w:tc>
          <w:tcPr>
            <w:tcW w:type="dxa" w:w="1440"/>
          </w:tcPr>
          <w:p>
            <w:r>
              <w:t>Excellent (100–200 mg/g)</w:t>
            </w:r>
          </w:p>
        </w:tc>
        <w:tc>
          <w:tcPr>
            <w:tcW w:type="dxa" w:w="1440"/>
          </w:tcPr>
          <w:p>
            <w:r>
              <w:t>Excellent (best-in-class)</w:t>
            </w:r>
          </w:p>
        </w:tc>
        <w:tc>
          <w:tcPr>
            <w:tcW w:type="dxa" w:w="1440"/>
          </w:tcPr>
          <w:p>
            <w:r>
              <w:t>Proven under plant conditions</w:t>
            </w:r>
          </w:p>
        </w:tc>
        <w:tc>
          <w:tcPr>
            <w:tcW w:type="dxa" w:w="1440"/>
          </w:tcPr>
          <w:p>
            <w:r>
              <w:t>HIP → iodo-sodalite ceramic</w:t>
            </w:r>
          </w:p>
        </w:tc>
        <w:tc>
          <w:tcPr>
            <w:tcW w:type="dxa" w:w="1440"/>
          </w:tcPr>
          <w:p>
            <w:r>
              <w:t>Global supply ample; small demand but politically visible</w:t>
            </w:r>
          </w:p>
        </w:tc>
      </w:tr>
      <w:tr>
        <w:tc>
          <w:tcPr>
            <w:tcW w:type="dxa" w:w="1440"/>
          </w:tcPr>
          <w:p>
            <w:r>
              <w:t>Bismuth-based sorbents</w:t>
            </w:r>
          </w:p>
        </w:tc>
        <w:tc>
          <w:tcPr>
            <w:tcW w:type="dxa" w:w="1440"/>
          </w:tcPr>
          <w:p>
            <w:r>
              <w:t>High (BiI₃, Bi-oxides)</w:t>
            </w:r>
          </w:p>
        </w:tc>
        <w:tc>
          <w:tcPr>
            <w:tcW w:type="dxa" w:w="1440"/>
          </w:tcPr>
          <w:p>
            <w:r>
              <w:t>Good (depends on formulation)</w:t>
            </w:r>
          </w:p>
        </w:tc>
        <w:tc>
          <w:tcPr>
            <w:tcW w:type="dxa" w:w="1440"/>
          </w:tcPr>
          <w:p>
            <w:r>
              <w:t>Promising, under testing</w:t>
            </w:r>
          </w:p>
        </w:tc>
        <w:tc>
          <w:tcPr>
            <w:tcW w:type="dxa" w:w="1440"/>
          </w:tcPr>
          <w:p>
            <w:r>
              <w:t>Bi-iodide ceramics stable</w:t>
            </w:r>
          </w:p>
        </w:tc>
        <w:tc>
          <w:tcPr>
            <w:tcW w:type="dxa" w:w="1440"/>
          </w:tcPr>
          <w:p>
            <w:r>
              <w:t>Bismuth supply adequate; less industrial demand</w:t>
            </w:r>
          </w:p>
        </w:tc>
      </w:tr>
      <w:tr>
        <w:tc>
          <w:tcPr>
            <w:tcW w:type="dxa" w:w="1440"/>
          </w:tcPr>
          <w:p>
            <w:r>
              <w:t>Copper-zeolites</w:t>
            </w:r>
          </w:p>
        </w:tc>
        <w:tc>
          <w:tcPr>
            <w:tcW w:type="dxa" w:w="1440"/>
          </w:tcPr>
          <w:p>
            <w:r>
              <w:t>Good for I₂</w:t>
            </w:r>
          </w:p>
        </w:tc>
        <w:tc>
          <w:tcPr>
            <w:tcW w:type="dxa" w:w="1440"/>
          </w:tcPr>
          <w:p>
            <w:r>
              <w:t>Moderate (CH₃I weaker)</w:t>
            </w:r>
          </w:p>
        </w:tc>
        <w:tc>
          <w:tcPr>
            <w:tcW w:type="dxa" w:w="1440"/>
          </w:tcPr>
          <w:p>
            <w:r>
              <w:t>Reasonably stable</w:t>
            </w:r>
          </w:p>
        </w:tc>
        <w:tc>
          <w:tcPr>
            <w:tcW w:type="dxa" w:w="1440"/>
          </w:tcPr>
          <w:p>
            <w:r>
              <w:t>Can blend into glass/ceramic</w:t>
            </w:r>
          </w:p>
        </w:tc>
        <w:tc>
          <w:tcPr>
            <w:tcW w:type="dxa" w:w="1440"/>
          </w:tcPr>
          <w:p>
            <w:r>
              <w:t>Cheaper, widely available</w:t>
            </w:r>
          </w:p>
        </w:tc>
      </w:tr>
      <w:tr>
        <w:tc>
          <w:tcPr>
            <w:tcW w:type="dxa" w:w="1440"/>
          </w:tcPr>
          <w:p>
            <w:r>
              <w:t>MOFs / Advanced Zeolites (e.g. EMM-17)</w:t>
            </w:r>
          </w:p>
        </w:tc>
        <w:tc>
          <w:tcPr>
            <w:tcW w:type="dxa" w:w="1440"/>
          </w:tcPr>
          <w:p>
            <w:r>
              <w:t>High (hundreds mg/g)</w:t>
            </w:r>
          </w:p>
        </w:tc>
        <w:tc>
          <w:tcPr>
            <w:tcW w:type="dxa" w:w="1440"/>
          </w:tcPr>
          <w:p>
            <w:r>
              <w:t>Moderate–Good</w:t>
            </w:r>
          </w:p>
        </w:tc>
        <w:tc>
          <w:tcPr>
            <w:tcW w:type="dxa" w:w="1440"/>
          </w:tcPr>
          <w:p>
            <w:r>
              <w:t>Some radiation-hard variants survive MGy doses</w:t>
            </w:r>
          </w:p>
        </w:tc>
        <w:tc>
          <w:tcPr>
            <w:tcW w:type="dxa" w:w="1440"/>
          </w:tcPr>
          <w:p>
            <w:r>
              <w:t>Research-stage, conversion pathways emerging</w:t>
            </w:r>
          </w:p>
        </w:tc>
        <w:tc>
          <w:tcPr>
            <w:tcW w:type="dxa" w:w="1440"/>
          </w:tcPr>
          <w:p>
            <w:r>
              <w:t>Emerging tech, scalable with R&amp;D</w:t>
            </w:r>
          </w:p>
        </w:tc>
      </w:tr>
    </w:tbl>
    <w:p>
      <w:pPr>
        <w:pStyle w:val="Heading2"/>
      </w:pPr>
      <w:r>
        <w:t>5.2 Position Statement</w:t>
      </w:r>
    </w:p>
    <w:p>
      <w:r>
        <w:t>While silver-zeolites remain the benchmark for iodine capture—particularly for methyl iodide (CH₃I)—the overall mass of silver required in nuclear waste treatment is small relative to global supply. Nevertheless, reliance on silver as the primary backbone introduces unnecessary economic and political sensitivities, given its role as a traded precious metal and its concentration in financial vaults.</w:t>
        <w:br/>
        <w:br/>
        <w:t>The optimal strategy is to deploy silver selectively as a polishing stage, ensuring compliance with stringent decontamination factors for CH₃I, while using bismuth-based, copper-based, or advanced porous materials (MOFs, novel zeolites) for bulk iodine capture. This reduces silver consumption dramatically, mitigates supply risk, and diversifies the technological base for iodine management. In this framework, silver serves as a specialized tool rather than a structural dependency, aligning nuclear waste treatment with both technical robustness and long-term resource resilience.</w:t>
      </w:r>
    </w:p>
    <w:p>
      <w:pPr>
        <w:pStyle w:val="Heading2"/>
      </w:pPr>
      <w:r>
        <w:t>6.1 Roadmap for Waste Management Pathways</w:t>
      </w:r>
    </w:p>
    <w:p>
      <w:r>
        <w:t>The strategic pathway for managing nuclear waste can be structured into two phases: short-term (0–10 years) and long-term (10+ years). Each phase emphasizes different technologies and policy objectives while maintaining continuity of safety and performance.</w:t>
      </w:r>
    </w:p>
    <w:p>
      <w:pPr>
        <w:pStyle w:val="Heading3"/>
      </w:pPr>
      <w:r>
        <w:t>Short-Term (0–10 Years)</w:t>
      </w:r>
    </w:p>
    <w:p>
      <w:r>
        <w:t>- **Interim Storage Improvements**: Transition from pool storage to dry cask systems with enhanced monitoring, corrosion-resistant materials, and predictive maintenance analytics.</w:t>
        <w:br/>
        <w:t>- **Immobilization Enhancements**: Deploy advanced glass and ceramic waste forms to stabilize high-level waste; pilot HIP processing for problematic isotopes like I-129.</w:t>
        <w:br/>
        <w:t>- **Iodine Capture Systems**: Install multi-bed sorbent trains where bulk capture is handled by Bi/Cu/MOF materials, with a silver-polish bed ensuring compliance with CH₃I decontamination factors.</w:t>
        <w:br/>
        <w:t>- **Repository Readiness**: Begin preparing engineered barrier systems (e.g., bentonite, clays) in advance of deep geological repository licensing.</w:t>
        <w:br/>
        <w:t>- **R&amp;D Foundations**: Initiate modeling and bench-scale testing of harmonic scheduling in ADS to demonstrate conceptual feasibility.</w:t>
      </w:r>
    </w:p>
    <w:p>
      <w:pPr>
        <w:pStyle w:val="Heading3"/>
      </w:pPr>
      <w:r>
        <w:t>Long-Term (10+ Years)</w:t>
      </w:r>
    </w:p>
    <w:p>
      <w:r>
        <w:t>- **Deep Geological Repositories (DGRs)**: Commission repositories with multi-barrier concepts, integrating waste forms engineered in the short-term phase.</w:t>
        <w:br/>
        <w:t>- **Partitioning &amp; Transmutation (P&amp;T)**: Scale up separation and transmutation of long-lived actinides and fission products, using fast reactors and ADS.</w:t>
        <w:br/>
        <w:t>- **ADS with Harmonic Scheduling**: Deploy full-scale accelerator-driven systems incorporating Kansūron harmonic scheduling for spectrum/flux optimization, maximizing depletion of long-lived nuclides.</w:t>
        <w:br/>
        <w:t>- **Technology Diversification**: Replace or minimize silver use through mature Bi/Cu/MOF systems, ensuring redundancy and independence from precious metal markets.</w:t>
        <w:br/>
        <w:t>- **Policy Integration**: Embed harmonic-based P&amp;T into national energy and waste strategies, aligning with international frameworks (IAEA, OECD/NEA).</w:t>
      </w:r>
    </w:p>
    <w:p>
      <w:pPr>
        <w:pStyle w:val="Heading2"/>
      </w:pPr>
      <w:r>
        <w:t>6.2 First Look: Atomic Harmonics</w:t>
      </w:r>
    </w:p>
    <w:p>
      <w:r>
        <w:t>Reader’s Note: The following section is a speculative, first-look exploration. It is intended to open conceptual pathways linking Kansūron harmonic overlaps with atomic shell structure, but it does not represent a complete or final derivation. The ideas here should be read as a framework for further study, not as settled results.</w:t>
      </w:r>
    </w:p>
    <w:p>
      <w:r>
        <w:t>This exploratory section connects Kansūron’s harmonic overlaps to atomic shell structure. It is not a full derivation but a first conceptual bridge between number-theoretic harmonics and quantum orbital filling rules. The progression is illustrated in Figure 0 (wave overlaps) and Figure 1 (shell capacities).</w:t>
      </w:r>
    </w:p>
    <w:p>
      <w:r>
        <w:t>**(1) Euler phase comb (base object):**</w:t>
        <w:br/>
        <w:t>K(t) = Σ_{n=1}^∞ wₙ · e^(i n π t),   t ∈ [0, 1/2]</w:t>
      </w:r>
    </w:p>
    <w:p>
      <w:r>
        <w:t>**(2) Shell-band selector (harmonic window):**</w:t>
        <w:br/>
        <w:t>B_s(n) = exp( -(n-μ_s)² / 2σ_s² )   or   B_s(n) = 1 if n ∈ N_s</w:t>
        <w:br/>
        <w:t>with μ_s ∝ s(s+1).</w:t>
      </w:r>
    </w:p>
    <w:p>
      <w:r>
        <w:t>**(3) Overlap amplitude and band energy:**</w:t>
        <w:br/>
        <w:t>A_s(t) = Σ B_s(n) wₙ e^(i n π t)</w:t>
        <w:br/>
        <w:t>ℛ_s = ∫₀^(1/2) |A_s(t)|² dt ≈ s²</w:t>
      </w:r>
    </w:p>
    <w:p>
      <w:r>
        <w:t>**(4) Shell capacity rule (spin doubling):**</w:t>
        <w:br/>
        <w:t>M_s = 2 s²</w:t>
        <w:br/>
        <w:t>⇒ M₁=2, M₂=8, M₃=18, M₄=32 …</w:t>
      </w:r>
    </w:p>
    <w:p>
      <w:pPr>
        <w:jc w:val="center"/>
      </w:pPr>
      <w:r>
        <w:t>Interpretation: The shell capacities (2, 8, 18, 32 …) arise naturally as doubled degeneracies of harmonic-overlap bands, aligning Kansūron half-cycle math with the atomic orbital filling sequence. Together, Figures 0 and 1 show how overlapping half-cycles can project into discrete electron shell structures.</w:t>
      </w:r>
    </w:p>
    <w:p>
      <w:r>
        <w:drawing>
          <wp:inline xmlns:a="http://schemas.openxmlformats.org/drawingml/2006/main" xmlns:pic="http://schemas.openxmlformats.org/drawingml/2006/picture">
            <wp:extent cx="4572000" cy="2642801"/>
            <wp:docPr id="2" name="Picture 2"/>
            <wp:cNvGraphicFramePr>
              <a:graphicFrameLocks noChangeAspect="1"/>
            </wp:cNvGraphicFramePr>
            <a:graphic>
              <a:graphicData uri="http://schemas.openxmlformats.org/drawingml/2006/picture">
                <pic:pic>
                  <pic:nvPicPr>
                    <pic:cNvPr id="0" name="Harmonic_Overlap_Waves.png"/>
                    <pic:cNvPicPr/>
                  </pic:nvPicPr>
                  <pic:blipFill>
                    <a:blip r:embed="rId10"/>
                    <a:stretch>
                      <a:fillRect/>
                    </a:stretch>
                  </pic:blipFill>
                  <pic:spPr>
                    <a:xfrm>
                      <a:off x="0" y="0"/>
                      <a:ext cx="4572000" cy="2642801"/>
                    </a:xfrm>
                    <a:prstGeom prst="rect"/>
                  </pic:spPr>
                </pic:pic>
              </a:graphicData>
            </a:graphic>
          </wp:inline>
        </w:drawing>
      </w:r>
    </w:p>
    <w:p/>
    <w:p>
      <w:pPr>
        <w:jc w:val="center"/>
      </w:pPr>
      <w:r>
        <w:t>Figure 0. Harmonic half-cycle overlaps. Multiple sine waves (n=1–4) intersect at common points (e.g., t=0.5), illustrating how resonance overlaps could underpin shell stability.</w:t>
      </w:r>
    </w:p>
    <w:p/>
    <w:p/>
    <w:p>
      <w:pPr>
        <w:jc w:val="center"/>
      </w:pPr>
      <w:r>
        <w:drawing>
          <wp:inline xmlns:a="http://schemas.openxmlformats.org/drawingml/2006/main" xmlns:pic="http://schemas.openxmlformats.org/drawingml/2006/picture">
            <wp:extent cx="4114800" cy="4450586"/>
            <wp:docPr id="1" name="Picture 1"/>
            <wp:cNvGraphicFramePr>
              <a:graphicFrameLocks noChangeAspect="1"/>
            </wp:cNvGraphicFramePr>
            <a:graphic>
              <a:graphicData uri="http://schemas.openxmlformats.org/drawingml/2006/picture">
                <pic:pic>
                  <pic:nvPicPr>
                    <pic:cNvPr id="0" name="Atomic_Harmonics_Shells.png"/>
                    <pic:cNvPicPr/>
                  </pic:nvPicPr>
                  <pic:blipFill>
                    <a:blip r:embed="rId9"/>
                    <a:stretch>
                      <a:fillRect/>
                    </a:stretch>
                  </pic:blipFill>
                  <pic:spPr>
                    <a:xfrm>
                      <a:off x="0" y="0"/>
                      <a:ext cx="4114800" cy="4450586"/>
                    </a:xfrm>
                    <a:prstGeom prst="rect"/>
                  </pic:spPr>
                </pic:pic>
              </a:graphicData>
            </a:graphic>
          </wp:inline>
        </w:drawing>
      </w:r>
    </w:p>
    <w:p>
      <w:pPr>
        <w:jc w:val="center"/>
      </w:pPr>
      <w:r>
        <w:t>Figure 1. Conceptual diagram of atomic harmonics. Concentric shells illustrate electron capacities (2, 8, 18, 32) arising from M_s = 2s², as predicted by harmonic-overlap logic.</w:t>
      </w:r>
    </w:p>
    <w:p>
      <w:r>
        <w:br w:type="page"/>
      </w:r>
    </w:p>
    <w:p>
      <w:r>
        <w:t>This document was compiled by Dean Hedges, with conceptual and technical contributions from ChatGPT (OpenAI). It represents a first look at the application of Kansūron harmonic overlaps to nuclear waste transmutation and atomic structure.</w:t>
        <w:br/>
        <w:br/>
        <w:t>The authors acknowledge that this is an exploratory concept note intended for discussion and future development, not a final proof.</w:t>
        <w:br/>
        <w:br/>
        <w:t>Version 1.0 — September 2025</w:t>
        <w:br/>
        <w:t>- Initial public release of the concept note.</w:t>
        <w:br/>
        <w:t>- Includes sections on resonance-harmonic scheduling, iodine capture with silver and alternatives, short-term vs long-term pathways, atomic harmonics (first look), and Appendix A outlining future directions.</w:t>
        <w:br/>
        <w:t>- Figures added: harmonic overlap diagram and atomic shell capacities diagram.</w:t>
        <w:br/>
        <w:t>- Historical preamble and citation note included for traceability.</w:t>
      </w:r>
    </w:p>
    <w:p>
      <w:pPr>
        <w:pStyle w:val="Heading1"/>
      </w:pPr>
      <w:r>
        <w:t>Acknowledgments &amp; Version Note</w:t>
      </w:r>
    </w:p>
    <w:p>
      <w:pPr>
        <w:pStyle w:val="Heading1"/>
      </w:pPr>
      <w:r>
        <w:t>Appendix A. Future Work Directions</w:t>
      </w:r>
    </w:p>
    <w:p>
      <w:r>
        <w:t>- v1.1 — [Future date]</w:t>
        <w:br/>
        <w:t xml:space="preserve">  Placeholder for next revision: note changes here (e.g., minor edits, added references, expanded sections).</w:t>
      </w:r>
    </w:p>
    <w:p>
      <w:r>
        <w:t>- v1.0 — September 2025</w:t>
        <w:br/>
        <w:t xml:space="preserve">  Initial public release. Includes sections on resonance-harmonic scheduling, iodine capture with silver and alternatives, short/long-term pathways, first look at atomic harmonics, and Appendix A. Figures added (wave overlaps, atomic shells).</w:t>
      </w:r>
    </w:p>
    <w:p>
      <w:pPr>
        <w:pStyle w:val="Heading1"/>
      </w:pPr>
      <w:r>
        <w:t>Version History</w:t>
      </w:r>
    </w:p>
    <w:p>
      <w:r>
        <w:t>The following items are identified as natural extensions of this first-look framework. They are not addressed in the present draft but represent key steps for advancing the theory:</w:t>
      </w:r>
    </w:p>
    <w:p>
      <w:r>
        <w:t>- **Formal Derivation of Orbital Filling Rules:** Complete step-by-step derivation of 2, 8, 18, 32 … directly from Kansūron half-cycle overlaps.</w:t>
        <w:br/>
        <w:t>- **Spherical Harmonics Mapping:** Establish explicit correspondences between Kansūron resonance bands and spherical harmonic functions Y_ℓ^m.</w:t>
        <w:br/>
        <w:t>- **Group Theory Integration:** Explore how SO(3)/SU(2) structures emerge from harmonic overlaps.</w:t>
        <w:br/>
        <w:t>- **Madelung n+ℓ Rule Reinterpretation:** Show how the harmonic lattice reproduces the Madelung ordering used in chemistry.</w:t>
        <w:br/>
        <w:t>- **3D Magic Square and Orbital Blocks:** Connect the 64-cube framework to the organization of s, p, d, f orbitals.</w:t>
        <w:br/>
        <w:t>- **Entropy and Stability Criteria:** Develop information-theoretic measures for resonance selection, explaining why certain configurations stabilize.</w:t>
      </w:r>
    </w:p>
    <w:p>
      <w:r>
        <w:t>This appendix signals that Section 6.2 is an opening, not a closure. It highlights where rigorous mathematical development is still required, and where Kansūron theory could provide novel insights into atomic and quantum structure.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